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90E" w:rsidRDefault="001B490E" w:rsidP="001B490E">
      <w:pPr>
        <w:shd w:val="clear" w:color="auto" w:fill="FFFFFF"/>
        <w:spacing w:after="0" w:line="240" w:lineRule="auto"/>
        <w:textAlignment w:val="baseline"/>
        <w:outlineLvl w:val="2"/>
        <w:rPr>
          <w:rFonts w:ascii="Arial" w:eastAsia="Times New Roman" w:hAnsi="Arial" w:cs="Arial"/>
          <w:b/>
          <w:bCs/>
          <w:color w:val="548DD4" w:themeColor="text2" w:themeTint="99"/>
        </w:rPr>
      </w:pPr>
      <w:r>
        <w:rPr>
          <w:noProof/>
        </w:rPr>
        <mc:AlternateContent>
          <mc:Choice Requires="wps">
            <w:drawing>
              <wp:anchor distT="0" distB="0" distL="114300" distR="114300" simplePos="0" relativeHeight="251660288" behindDoc="0" locked="0" layoutInCell="1" allowOverlap="1" wp14:anchorId="2E90929C" wp14:editId="7B55372C">
                <wp:simplePos x="0" y="0"/>
                <wp:positionH relativeFrom="column">
                  <wp:posOffset>2087794</wp:posOffset>
                </wp:positionH>
                <wp:positionV relativeFrom="paragraph">
                  <wp:posOffset>-624703</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B490E" w:rsidRPr="001B490E" w:rsidRDefault="001B490E" w:rsidP="001B490E">
                            <w:pPr>
                              <w:shd w:val="clear" w:color="auto" w:fill="FFFFFF"/>
                              <w:spacing w:after="0" w:line="240" w:lineRule="auto"/>
                              <w:jc w:val="center"/>
                              <w:textAlignment w:val="baseline"/>
                              <w:outlineLvl w:val="2"/>
                              <w:rPr>
                                <w:rFonts w:ascii="Arial" w:eastAsia="Times New Roman" w:hAnsi="Arial" w:cs="Arial"/>
                                <w:b/>
                                <w:bCs/>
                                <w:color w:val="1F497D" w:themeColor="text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490E">
                              <w:rPr>
                                <w:rFonts w:ascii="Arial" w:eastAsia="Times New Roman" w:hAnsi="Arial" w:cs="Arial"/>
                                <w:b/>
                                <w:bCs/>
                                <w:color w:val="FFFF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DYSLEXIA</w:t>
                            </w:r>
                          </w:p>
                        </w:txbxContent>
                      </wps:txbx>
                      <wps:bodyPr rot="0" spcFirstLastPara="0" vertOverflow="overflow" horzOverflow="overflow" vert="horz" wrap="none" lIns="91440" tIns="45720" rIns="91440" bIns="45720" numCol="1" spcCol="0" rtlCol="0" fromWordArt="0" anchor="t" anchorCtr="0" forceAA="0" compatLnSpc="1">
                        <a:prstTxWarp prst="textChevronInverted">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4pt;margin-top:-49.2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" filled="f" stroked="f">
                <v:fill o:detectmouseclick="t"/>
                <v:textbox style="mso-fit-shape-to-text:t">
                  <w:txbxContent>
                    <w:p w:rsidR="001B490E" w:rsidRPr="001B490E" w:rsidRDefault="001B490E" w:rsidP="001B490E">
                      <w:pPr>
                        <w:shd w:val="clear" w:color="auto" w:fill="FFFFFF"/>
                        <w:spacing w:after="0" w:line="240" w:lineRule="auto"/>
                        <w:jc w:val="center"/>
                        <w:textAlignment w:val="baseline"/>
                        <w:outlineLvl w:val="2"/>
                        <w:rPr>
                          <w:rFonts w:ascii="Arial" w:eastAsia="Times New Roman" w:hAnsi="Arial" w:cs="Arial"/>
                          <w:b/>
                          <w:bCs/>
                          <w:color w:val="1F497D" w:themeColor="text2"/>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B490E">
                        <w:rPr>
                          <w:rFonts w:ascii="Arial" w:eastAsia="Times New Roman" w:hAnsi="Arial" w:cs="Arial"/>
                          <w:b/>
                          <w:bCs/>
                          <w:color w:val="FFFF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DYSLEXIA</w:t>
                      </w:r>
                    </w:p>
                  </w:txbxContent>
                </v:textbox>
              </v:shape>
            </w:pict>
          </mc:Fallback>
        </mc:AlternateContent>
      </w:r>
    </w:p>
    <w:p w:rsidR="009D1EE4" w:rsidRDefault="009D1EE4" w:rsidP="001B490E">
      <w:pPr>
        <w:shd w:val="clear" w:color="auto" w:fill="FFFFFF"/>
        <w:spacing w:after="0" w:line="240" w:lineRule="auto"/>
        <w:textAlignment w:val="baseline"/>
        <w:outlineLvl w:val="2"/>
        <w:rPr>
          <w:rFonts w:ascii="Arial" w:eastAsia="Times New Roman" w:hAnsi="Arial" w:cs="Arial"/>
          <w:b/>
          <w:bCs/>
          <w:color w:val="548DD4" w:themeColor="text2" w:themeTint="99"/>
        </w:rPr>
      </w:pPr>
      <w:r w:rsidRPr="009D1EE4">
        <w:rPr>
          <w:rFonts w:ascii="Arial" w:eastAsia="Times New Roman" w:hAnsi="Arial" w:cs="Arial"/>
          <w:b/>
          <w:bCs/>
          <w:color w:val="548DD4" w:themeColor="text2" w:themeTint="99"/>
        </w:rPr>
        <w:t>What is Dyslexia?</w:t>
      </w:r>
    </w:p>
    <w:p w:rsidR="001B490E" w:rsidRPr="009D1EE4" w:rsidRDefault="001B490E" w:rsidP="001B490E">
      <w:pPr>
        <w:shd w:val="clear" w:color="auto" w:fill="FFFFFF"/>
        <w:spacing w:after="0" w:line="240" w:lineRule="auto"/>
        <w:textAlignment w:val="baseline"/>
        <w:outlineLvl w:val="2"/>
        <w:rPr>
          <w:rFonts w:ascii="Arial" w:eastAsia="Times New Roman" w:hAnsi="Arial" w:cs="Arial"/>
          <w:b/>
          <w:bCs/>
          <w:color w:val="548DD4" w:themeColor="text2" w:themeTint="99"/>
        </w:rPr>
      </w:pPr>
    </w:p>
    <w:p w:rsidR="002E759B" w:rsidRPr="001B490E" w:rsidRDefault="002E759B" w:rsidP="001B490E">
      <w:pPr>
        <w:shd w:val="clear" w:color="auto" w:fill="FFFFFF"/>
        <w:spacing w:after="0" w:line="240" w:lineRule="auto"/>
        <w:textAlignment w:val="baseline"/>
        <w:outlineLvl w:val="3"/>
        <w:rPr>
          <w:rFonts w:ascii="Arial" w:eastAsia="Times New Roman" w:hAnsi="Arial" w:cs="Arial"/>
          <w:bCs/>
        </w:rPr>
      </w:pPr>
      <w:r w:rsidRPr="001B490E">
        <w:rPr>
          <w:rFonts w:ascii="Arial" w:eastAsia="Times New Roman" w:hAnsi="Arial" w:cs="Arial"/>
          <w:bCs/>
        </w:rPr>
        <w:t>Dyslexia is a specific learning disability that is neurological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 (International Dyslexia Association, 2002).</w:t>
      </w:r>
    </w:p>
    <w:p w:rsidR="001B490E" w:rsidRDefault="001B490E"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p>
    <w:p w:rsidR="009D1EE4" w:rsidRDefault="009D1EE4"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r w:rsidRPr="009D1EE4">
        <w:rPr>
          <w:rFonts w:ascii="Arial" w:eastAsia="Times New Roman" w:hAnsi="Arial" w:cs="Arial"/>
          <w:b/>
          <w:bCs/>
          <w:color w:val="548DD4" w:themeColor="text2" w:themeTint="99"/>
        </w:rPr>
        <w:t>How do you know if a student is exhibiting characteristics of dyslexia?</w:t>
      </w:r>
    </w:p>
    <w:p w:rsidR="001B490E" w:rsidRPr="009D1EE4" w:rsidRDefault="001B490E"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p>
    <w:p w:rsidR="009D1EE4" w:rsidRPr="009D1EE4" w:rsidRDefault="009D1EE4" w:rsidP="001B490E">
      <w:pPr>
        <w:shd w:val="clear" w:color="auto" w:fill="FFFFFF"/>
        <w:spacing w:after="0" w:line="240" w:lineRule="auto"/>
        <w:textAlignment w:val="baseline"/>
        <w:rPr>
          <w:rFonts w:ascii="Arial" w:eastAsia="Times New Roman" w:hAnsi="Arial" w:cs="Arial"/>
        </w:rPr>
      </w:pPr>
      <w:r w:rsidRPr="009D1EE4">
        <w:rPr>
          <w:rFonts w:ascii="Arial" w:eastAsia="Times New Roman" w:hAnsi="Arial" w:cs="Arial"/>
        </w:rPr>
        <w:t>If a student scores below benchmark on their school’s reading screening, a dyslexia specific screening assessment will be administered. Parents may also request a dyslexia specific screening if they have concerns. School employees cannot diagnose dyslexia, but can screen for dyslexia us</w:t>
      </w:r>
      <w:r w:rsidR="002E759B" w:rsidRPr="001B490E">
        <w:rPr>
          <w:rFonts w:ascii="Arial" w:eastAsia="Times New Roman" w:hAnsi="Arial" w:cs="Arial"/>
        </w:rPr>
        <w:t>ing instruments recommended on the Mississippi Department of Education website</w:t>
      </w:r>
      <w:r w:rsidRPr="009D1EE4">
        <w:rPr>
          <w:rFonts w:ascii="Arial" w:eastAsia="Times New Roman" w:hAnsi="Arial" w:cs="Arial"/>
        </w:rPr>
        <w:t>.</w:t>
      </w:r>
    </w:p>
    <w:p w:rsidR="001B490E" w:rsidRDefault="001B490E"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p>
    <w:p w:rsidR="009D1EE4" w:rsidRDefault="009D1EE4"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r w:rsidRPr="009D1EE4">
        <w:rPr>
          <w:rFonts w:ascii="Arial" w:eastAsia="Times New Roman" w:hAnsi="Arial" w:cs="Arial"/>
          <w:b/>
          <w:bCs/>
          <w:color w:val="548DD4" w:themeColor="text2" w:themeTint="99"/>
        </w:rPr>
        <w:t>What if a student has a diagnosis of dyslexia or fails the dyslexia specific screening?</w:t>
      </w:r>
    </w:p>
    <w:p w:rsidR="001B490E" w:rsidRPr="009D1EE4" w:rsidRDefault="001B490E"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p>
    <w:p w:rsidR="009D1EE4" w:rsidRPr="009D1EE4" w:rsidRDefault="009D1EE4" w:rsidP="001B490E">
      <w:pPr>
        <w:shd w:val="clear" w:color="auto" w:fill="FFFFFF"/>
        <w:spacing w:after="0" w:line="240" w:lineRule="auto"/>
        <w:textAlignment w:val="baseline"/>
        <w:rPr>
          <w:rFonts w:ascii="Arial" w:eastAsia="Times New Roman" w:hAnsi="Arial" w:cs="Arial"/>
        </w:rPr>
      </w:pPr>
      <w:r w:rsidRPr="009D1EE4">
        <w:rPr>
          <w:rFonts w:ascii="Arial" w:eastAsia="Times New Roman" w:hAnsi="Arial" w:cs="Arial"/>
        </w:rPr>
        <w:t>If a student is identified as exhibiting characteristics of dyslexia on the dyslexia-specific screening assessment or has a diagnosis of dyslexia, he or she will receive </w:t>
      </w:r>
      <w:r w:rsidRPr="009D1EE4">
        <w:rPr>
          <w:rFonts w:ascii="Arial" w:eastAsia="Times New Roman" w:hAnsi="Arial" w:cs="Arial"/>
          <w:b/>
          <w:bCs/>
          <w:bdr w:val="none" w:sz="0" w:space="0" w:color="auto" w:frame="1"/>
        </w:rPr>
        <w:t>dyslexia specific accommodations and/or interventions </w:t>
      </w:r>
      <w:r w:rsidRPr="009D1EE4">
        <w:rPr>
          <w:rFonts w:ascii="Arial" w:eastAsia="Times New Roman" w:hAnsi="Arial" w:cs="Arial"/>
        </w:rPr>
        <w:t xml:space="preserve">in order to provide equal access to curriculum. These accommodations/interventions will be developed, monitored and communicated to parents by the school’s </w:t>
      </w:r>
      <w:r w:rsidR="002E759B" w:rsidRPr="001B490E">
        <w:rPr>
          <w:rFonts w:ascii="Arial" w:eastAsia="Times New Roman" w:hAnsi="Arial" w:cs="Arial"/>
        </w:rPr>
        <w:t>Teacher Support Team</w:t>
      </w:r>
      <w:r w:rsidRPr="009D1EE4">
        <w:rPr>
          <w:rFonts w:ascii="Arial" w:eastAsia="Times New Roman" w:hAnsi="Arial" w:cs="Arial"/>
        </w:rPr>
        <w:t xml:space="preserve"> (</w:t>
      </w:r>
      <w:r w:rsidR="002E759B" w:rsidRPr="001B490E">
        <w:rPr>
          <w:rFonts w:ascii="Arial" w:eastAsia="Times New Roman" w:hAnsi="Arial" w:cs="Arial"/>
        </w:rPr>
        <w:t>T</w:t>
      </w:r>
      <w:r w:rsidRPr="009D1EE4">
        <w:rPr>
          <w:rFonts w:ascii="Arial" w:eastAsia="Times New Roman" w:hAnsi="Arial" w:cs="Arial"/>
        </w:rPr>
        <w:t xml:space="preserve">ST) as part </w:t>
      </w:r>
      <w:r w:rsidR="002E759B" w:rsidRPr="001B490E">
        <w:rPr>
          <w:rFonts w:ascii="Arial" w:eastAsia="Times New Roman" w:hAnsi="Arial" w:cs="Arial"/>
        </w:rPr>
        <w:t xml:space="preserve">of the </w:t>
      </w:r>
      <w:proofErr w:type="spellStart"/>
      <w:r w:rsidR="002E759B" w:rsidRPr="001B490E">
        <w:rPr>
          <w:rFonts w:ascii="Arial" w:eastAsia="Times New Roman" w:hAnsi="Arial" w:cs="Arial"/>
        </w:rPr>
        <w:t>RtI</w:t>
      </w:r>
      <w:proofErr w:type="spellEnd"/>
      <w:r w:rsidR="002E759B" w:rsidRPr="001B490E">
        <w:rPr>
          <w:rFonts w:ascii="Arial" w:eastAsia="Times New Roman" w:hAnsi="Arial" w:cs="Arial"/>
        </w:rPr>
        <w:t xml:space="preserve"> Process discussed on </w:t>
      </w:r>
      <w:r w:rsidRPr="009D1EE4">
        <w:rPr>
          <w:rFonts w:ascii="Arial" w:eastAsia="Times New Roman" w:hAnsi="Arial" w:cs="Arial"/>
        </w:rPr>
        <w:t xml:space="preserve">page </w:t>
      </w:r>
      <w:r w:rsidR="002E759B" w:rsidRPr="001B490E">
        <w:rPr>
          <w:rFonts w:ascii="Arial" w:eastAsia="Times New Roman" w:hAnsi="Arial" w:cs="Arial"/>
        </w:rPr>
        <w:t>34</w:t>
      </w:r>
      <w:r w:rsidRPr="009D1EE4">
        <w:rPr>
          <w:rFonts w:ascii="Arial" w:eastAsia="Times New Roman" w:hAnsi="Arial" w:cs="Arial"/>
        </w:rPr>
        <w:t xml:space="preserve"> of the </w:t>
      </w:r>
      <w:r w:rsidR="002E759B" w:rsidRPr="001B490E">
        <w:rPr>
          <w:rFonts w:ascii="Arial" w:eastAsia="Times New Roman" w:hAnsi="Arial" w:cs="Arial"/>
          <w:i/>
          <w:iCs/>
          <w:bdr w:val="none" w:sz="0" w:space="0" w:color="auto" w:frame="1"/>
        </w:rPr>
        <w:t>Mississippi Dyslexia Handbook</w:t>
      </w:r>
      <w:r w:rsidRPr="009D1EE4">
        <w:rPr>
          <w:rFonts w:ascii="Arial" w:eastAsia="Times New Roman" w:hAnsi="Arial" w:cs="Arial"/>
        </w:rPr>
        <w:t>.</w:t>
      </w:r>
    </w:p>
    <w:p w:rsidR="001B490E" w:rsidRDefault="001B490E"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p>
    <w:p w:rsidR="009D1EE4" w:rsidRDefault="009D1EE4"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r w:rsidRPr="009D1EE4">
        <w:rPr>
          <w:rFonts w:ascii="Arial" w:eastAsia="Times New Roman" w:hAnsi="Arial" w:cs="Arial"/>
          <w:b/>
          <w:bCs/>
          <w:color w:val="548DD4" w:themeColor="text2" w:themeTint="99"/>
        </w:rPr>
        <w:t>What classroom strategies or accommodations can be implemented to support students exhibiting characteristics of dyslexia?</w:t>
      </w:r>
    </w:p>
    <w:p w:rsidR="001B490E" w:rsidRPr="009D1EE4" w:rsidRDefault="001B490E"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bookmarkStart w:id="0" w:name="_GoBack"/>
      <w:bookmarkEnd w:id="0"/>
    </w:p>
    <w:p w:rsidR="009D1EE4" w:rsidRPr="009D1EE4" w:rsidRDefault="0013736D" w:rsidP="001B490E">
      <w:pPr>
        <w:numPr>
          <w:ilvl w:val="0"/>
          <w:numId w:val="2"/>
        </w:numPr>
        <w:shd w:val="clear" w:color="auto" w:fill="FFFFFF"/>
        <w:spacing w:after="0" w:line="240" w:lineRule="auto"/>
        <w:ind w:left="150"/>
        <w:textAlignment w:val="baseline"/>
        <w:rPr>
          <w:rFonts w:ascii="Arial" w:eastAsia="Times New Roman" w:hAnsi="Arial" w:cs="Arial"/>
        </w:rPr>
      </w:pPr>
      <w:r>
        <w:rPr>
          <w:rFonts w:ascii="Arial" w:eastAsia="Times New Roman" w:hAnsi="Arial" w:cs="Arial"/>
          <w:noProof/>
        </w:rPr>
        <w:drawing>
          <wp:anchor distT="0" distB="0" distL="114300" distR="114300" simplePos="0" relativeHeight="251661312" behindDoc="0" locked="0" layoutInCell="1" allowOverlap="1" wp14:anchorId="3014394B" wp14:editId="12E6BA55">
            <wp:simplePos x="0" y="0"/>
            <wp:positionH relativeFrom="margin">
              <wp:posOffset>3391535</wp:posOffset>
            </wp:positionH>
            <wp:positionV relativeFrom="margin">
              <wp:posOffset>5102860</wp:posOffset>
            </wp:positionV>
            <wp:extent cx="2223770" cy="1859280"/>
            <wp:effectExtent l="0" t="0" r="508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jpg"/>
                    <pic:cNvPicPr/>
                  </pic:nvPicPr>
                  <pic:blipFill>
                    <a:blip r:embed="rId6">
                      <a:extLst>
                        <a:ext uri="{28A0092B-C50C-407E-A947-70E740481C1C}">
                          <a14:useLocalDpi xmlns:a14="http://schemas.microsoft.com/office/drawing/2010/main" val="0"/>
                        </a:ext>
                      </a:extLst>
                    </a:blip>
                    <a:stretch>
                      <a:fillRect/>
                    </a:stretch>
                  </pic:blipFill>
                  <pic:spPr>
                    <a:xfrm>
                      <a:off x="0" y="0"/>
                      <a:ext cx="2223770" cy="1859280"/>
                    </a:xfrm>
                    <a:prstGeom prst="rect">
                      <a:avLst/>
                    </a:prstGeom>
                  </pic:spPr>
                </pic:pic>
              </a:graphicData>
            </a:graphic>
            <wp14:sizeRelV relativeFrom="margin">
              <wp14:pctHeight>0</wp14:pctHeight>
            </wp14:sizeRelV>
          </wp:anchor>
        </w:drawing>
      </w:r>
      <w:r w:rsidR="009D1EE4" w:rsidRPr="009D1EE4">
        <w:rPr>
          <w:rFonts w:ascii="Arial" w:eastAsia="Times New Roman" w:hAnsi="Arial" w:cs="Arial"/>
        </w:rPr>
        <w:t>Assistive technology</w:t>
      </w:r>
    </w:p>
    <w:p w:rsidR="009D1EE4" w:rsidRPr="009D1EE4" w:rsidRDefault="009D1EE4" w:rsidP="001B490E">
      <w:pPr>
        <w:numPr>
          <w:ilvl w:val="0"/>
          <w:numId w:val="2"/>
        </w:numPr>
        <w:shd w:val="clear" w:color="auto" w:fill="FFFFFF"/>
        <w:spacing w:after="0" w:line="240" w:lineRule="auto"/>
        <w:ind w:left="150"/>
        <w:textAlignment w:val="baseline"/>
        <w:rPr>
          <w:rFonts w:ascii="Arial" w:eastAsia="Times New Roman" w:hAnsi="Arial" w:cs="Arial"/>
        </w:rPr>
      </w:pPr>
      <w:r w:rsidRPr="009D1EE4">
        <w:rPr>
          <w:rFonts w:ascii="Arial" w:eastAsia="Times New Roman" w:hAnsi="Arial" w:cs="Arial"/>
        </w:rPr>
        <w:t>Clarify or simplify directions</w:t>
      </w:r>
    </w:p>
    <w:p w:rsidR="009D1EE4" w:rsidRPr="009D1EE4" w:rsidRDefault="009D1EE4" w:rsidP="001B490E">
      <w:pPr>
        <w:numPr>
          <w:ilvl w:val="0"/>
          <w:numId w:val="2"/>
        </w:numPr>
        <w:shd w:val="clear" w:color="auto" w:fill="FFFFFF"/>
        <w:spacing w:after="0" w:line="240" w:lineRule="auto"/>
        <w:ind w:left="150"/>
        <w:textAlignment w:val="baseline"/>
        <w:rPr>
          <w:rFonts w:ascii="Arial" w:eastAsia="Times New Roman" w:hAnsi="Arial" w:cs="Arial"/>
        </w:rPr>
      </w:pPr>
      <w:r w:rsidRPr="009D1EE4">
        <w:rPr>
          <w:rFonts w:ascii="Arial" w:eastAsia="Times New Roman" w:hAnsi="Arial" w:cs="Arial"/>
        </w:rPr>
        <w:t>Highlight essential information</w:t>
      </w:r>
    </w:p>
    <w:p w:rsidR="009D1EE4" w:rsidRPr="009D1EE4" w:rsidRDefault="009D1EE4" w:rsidP="001B490E">
      <w:pPr>
        <w:numPr>
          <w:ilvl w:val="0"/>
          <w:numId w:val="2"/>
        </w:numPr>
        <w:shd w:val="clear" w:color="auto" w:fill="FFFFFF"/>
        <w:spacing w:after="0" w:line="240" w:lineRule="auto"/>
        <w:ind w:left="150"/>
        <w:textAlignment w:val="baseline"/>
        <w:rPr>
          <w:rFonts w:ascii="Arial" w:eastAsia="Times New Roman" w:hAnsi="Arial" w:cs="Arial"/>
        </w:rPr>
      </w:pPr>
      <w:r w:rsidRPr="009D1EE4">
        <w:rPr>
          <w:rFonts w:ascii="Arial" w:eastAsia="Times New Roman" w:hAnsi="Arial" w:cs="Arial"/>
        </w:rPr>
        <w:t>Develop reading guides</w:t>
      </w:r>
    </w:p>
    <w:p w:rsidR="009D1EE4" w:rsidRPr="009D1EE4" w:rsidRDefault="009D1EE4" w:rsidP="001B490E">
      <w:pPr>
        <w:numPr>
          <w:ilvl w:val="0"/>
          <w:numId w:val="2"/>
        </w:numPr>
        <w:shd w:val="clear" w:color="auto" w:fill="FFFFFF"/>
        <w:spacing w:after="0" w:line="240" w:lineRule="auto"/>
        <w:ind w:left="150"/>
        <w:textAlignment w:val="baseline"/>
        <w:rPr>
          <w:rFonts w:ascii="Arial" w:eastAsia="Times New Roman" w:hAnsi="Arial" w:cs="Arial"/>
        </w:rPr>
      </w:pPr>
      <w:r w:rsidRPr="009D1EE4">
        <w:rPr>
          <w:rFonts w:ascii="Arial" w:eastAsia="Times New Roman" w:hAnsi="Arial" w:cs="Arial"/>
        </w:rPr>
        <w:t>Provide a copy of lecture notes</w:t>
      </w:r>
    </w:p>
    <w:p w:rsidR="009D1EE4" w:rsidRPr="009D1EE4" w:rsidRDefault="009D1EE4" w:rsidP="001B490E">
      <w:pPr>
        <w:numPr>
          <w:ilvl w:val="0"/>
          <w:numId w:val="2"/>
        </w:numPr>
        <w:shd w:val="clear" w:color="auto" w:fill="FFFFFF"/>
        <w:spacing w:after="0" w:line="240" w:lineRule="auto"/>
        <w:ind w:left="150"/>
        <w:textAlignment w:val="baseline"/>
        <w:rPr>
          <w:rFonts w:ascii="Arial" w:eastAsia="Times New Roman" w:hAnsi="Arial" w:cs="Arial"/>
        </w:rPr>
      </w:pPr>
      <w:r w:rsidRPr="009D1EE4">
        <w:rPr>
          <w:rFonts w:ascii="Arial" w:eastAsia="Times New Roman" w:hAnsi="Arial" w:cs="Arial"/>
        </w:rPr>
        <w:t>Use step by step instructions</w:t>
      </w:r>
    </w:p>
    <w:p w:rsidR="009D1EE4" w:rsidRPr="009D1EE4" w:rsidRDefault="009D1EE4" w:rsidP="001B490E">
      <w:pPr>
        <w:numPr>
          <w:ilvl w:val="0"/>
          <w:numId w:val="2"/>
        </w:numPr>
        <w:shd w:val="clear" w:color="auto" w:fill="FFFFFF"/>
        <w:spacing w:after="0" w:line="240" w:lineRule="auto"/>
        <w:ind w:left="150"/>
        <w:textAlignment w:val="baseline"/>
        <w:rPr>
          <w:rFonts w:ascii="Arial" w:eastAsia="Times New Roman" w:hAnsi="Arial" w:cs="Arial"/>
        </w:rPr>
      </w:pPr>
      <w:r w:rsidRPr="009D1EE4">
        <w:rPr>
          <w:rFonts w:ascii="Arial" w:eastAsia="Times New Roman" w:hAnsi="Arial" w:cs="Arial"/>
        </w:rPr>
        <w:t>Use of graphic organizers</w:t>
      </w:r>
    </w:p>
    <w:p w:rsidR="009D1EE4" w:rsidRPr="009D1EE4" w:rsidRDefault="009D1EE4" w:rsidP="001B490E">
      <w:pPr>
        <w:shd w:val="clear" w:color="auto" w:fill="FFFFFF"/>
        <w:spacing w:after="0" w:line="240" w:lineRule="auto"/>
        <w:textAlignment w:val="baseline"/>
        <w:rPr>
          <w:rFonts w:ascii="Arial" w:eastAsia="Times New Roman" w:hAnsi="Arial" w:cs="Arial"/>
        </w:rPr>
      </w:pPr>
    </w:p>
    <w:p w:rsidR="009D1EE4" w:rsidRPr="009D1EE4" w:rsidRDefault="009D1EE4" w:rsidP="001B490E">
      <w:pPr>
        <w:numPr>
          <w:ilvl w:val="0"/>
          <w:numId w:val="3"/>
        </w:numPr>
        <w:shd w:val="clear" w:color="auto" w:fill="FFFFFF"/>
        <w:spacing w:after="0" w:line="240" w:lineRule="auto"/>
        <w:ind w:left="300"/>
        <w:textAlignment w:val="baseline"/>
        <w:rPr>
          <w:rFonts w:ascii="Arial" w:eastAsia="Times New Roman" w:hAnsi="Arial" w:cs="Arial"/>
        </w:rPr>
      </w:pPr>
      <w:r w:rsidRPr="009D1EE4">
        <w:rPr>
          <w:rFonts w:ascii="Arial" w:eastAsia="Times New Roman" w:hAnsi="Arial" w:cs="Arial"/>
        </w:rPr>
        <w:t>Use cues to denote important items</w:t>
      </w:r>
    </w:p>
    <w:p w:rsidR="009D1EE4" w:rsidRPr="009D1EE4" w:rsidRDefault="009D1EE4" w:rsidP="001B490E">
      <w:pPr>
        <w:numPr>
          <w:ilvl w:val="0"/>
          <w:numId w:val="3"/>
        </w:numPr>
        <w:shd w:val="clear" w:color="auto" w:fill="FFFFFF"/>
        <w:spacing w:after="0" w:line="240" w:lineRule="auto"/>
        <w:ind w:left="300"/>
        <w:textAlignment w:val="baseline"/>
        <w:rPr>
          <w:rFonts w:ascii="Arial" w:eastAsia="Times New Roman" w:hAnsi="Arial" w:cs="Arial"/>
        </w:rPr>
      </w:pPr>
      <w:r w:rsidRPr="009D1EE4">
        <w:rPr>
          <w:rFonts w:ascii="Arial" w:eastAsia="Times New Roman" w:hAnsi="Arial" w:cs="Arial"/>
        </w:rPr>
        <w:t>Display work samples</w:t>
      </w:r>
    </w:p>
    <w:p w:rsidR="009D1EE4" w:rsidRPr="009D1EE4" w:rsidRDefault="009D1EE4" w:rsidP="001B490E">
      <w:pPr>
        <w:numPr>
          <w:ilvl w:val="0"/>
          <w:numId w:val="3"/>
        </w:numPr>
        <w:shd w:val="clear" w:color="auto" w:fill="FFFFFF"/>
        <w:spacing w:after="0" w:line="240" w:lineRule="auto"/>
        <w:ind w:left="300"/>
        <w:textAlignment w:val="baseline"/>
        <w:rPr>
          <w:rFonts w:ascii="Arial" w:eastAsia="Times New Roman" w:hAnsi="Arial" w:cs="Arial"/>
        </w:rPr>
      </w:pPr>
      <w:r w:rsidRPr="009D1EE4">
        <w:rPr>
          <w:rFonts w:ascii="Arial" w:eastAsia="Times New Roman" w:hAnsi="Arial" w:cs="Arial"/>
        </w:rPr>
        <w:t>Peer learning</w:t>
      </w:r>
    </w:p>
    <w:p w:rsidR="009D1EE4" w:rsidRPr="009D1EE4" w:rsidRDefault="009D1EE4" w:rsidP="001B490E">
      <w:pPr>
        <w:numPr>
          <w:ilvl w:val="0"/>
          <w:numId w:val="3"/>
        </w:numPr>
        <w:shd w:val="clear" w:color="auto" w:fill="FFFFFF"/>
        <w:spacing w:after="0" w:line="240" w:lineRule="auto"/>
        <w:ind w:left="300"/>
        <w:textAlignment w:val="baseline"/>
        <w:rPr>
          <w:rFonts w:ascii="Arial" w:eastAsia="Times New Roman" w:hAnsi="Arial" w:cs="Arial"/>
        </w:rPr>
      </w:pPr>
      <w:r w:rsidRPr="009D1EE4">
        <w:rPr>
          <w:rFonts w:ascii="Arial" w:eastAsia="Times New Roman" w:hAnsi="Arial" w:cs="Arial"/>
        </w:rPr>
        <w:t>Flexible work times</w:t>
      </w:r>
    </w:p>
    <w:p w:rsidR="009D1EE4" w:rsidRPr="009D1EE4" w:rsidRDefault="009D1EE4" w:rsidP="001B490E">
      <w:pPr>
        <w:numPr>
          <w:ilvl w:val="0"/>
          <w:numId w:val="3"/>
        </w:numPr>
        <w:shd w:val="clear" w:color="auto" w:fill="FFFFFF"/>
        <w:spacing w:after="0" w:line="240" w:lineRule="auto"/>
        <w:ind w:left="300"/>
        <w:textAlignment w:val="baseline"/>
        <w:rPr>
          <w:rFonts w:ascii="Arial" w:eastAsia="Times New Roman" w:hAnsi="Arial" w:cs="Arial"/>
        </w:rPr>
      </w:pPr>
      <w:r w:rsidRPr="009D1EE4">
        <w:rPr>
          <w:rFonts w:ascii="Arial" w:eastAsia="Times New Roman" w:hAnsi="Arial" w:cs="Arial"/>
        </w:rPr>
        <w:t>Provide additional practice</w:t>
      </w:r>
    </w:p>
    <w:p w:rsidR="009D1EE4" w:rsidRPr="009D1EE4" w:rsidRDefault="009D1EE4" w:rsidP="001B490E">
      <w:pPr>
        <w:numPr>
          <w:ilvl w:val="0"/>
          <w:numId w:val="3"/>
        </w:numPr>
        <w:shd w:val="clear" w:color="auto" w:fill="FFFFFF"/>
        <w:spacing w:after="0" w:line="240" w:lineRule="auto"/>
        <w:ind w:left="300"/>
        <w:textAlignment w:val="baseline"/>
        <w:rPr>
          <w:rFonts w:ascii="Arial" w:eastAsia="Times New Roman" w:hAnsi="Arial" w:cs="Arial"/>
        </w:rPr>
      </w:pPr>
      <w:r w:rsidRPr="009D1EE4">
        <w:rPr>
          <w:rFonts w:ascii="Arial" w:eastAsia="Times New Roman" w:hAnsi="Arial" w:cs="Arial"/>
        </w:rPr>
        <w:t>Adjust or substitute assignments</w:t>
      </w:r>
    </w:p>
    <w:p w:rsidR="002E759B" w:rsidRPr="001B490E" w:rsidRDefault="002E759B" w:rsidP="001B490E">
      <w:pPr>
        <w:shd w:val="clear" w:color="auto" w:fill="FFFFFF"/>
        <w:spacing w:after="0" w:line="240" w:lineRule="auto"/>
        <w:textAlignment w:val="baseline"/>
        <w:outlineLvl w:val="3"/>
        <w:rPr>
          <w:rFonts w:ascii="Arial" w:eastAsia="Times New Roman" w:hAnsi="Arial" w:cs="Arial"/>
          <w:b/>
          <w:bCs/>
        </w:rPr>
      </w:pPr>
    </w:p>
    <w:p w:rsidR="002E759B" w:rsidRPr="001B490E" w:rsidRDefault="002E759B" w:rsidP="001B490E">
      <w:pPr>
        <w:shd w:val="clear" w:color="auto" w:fill="FFFFFF"/>
        <w:spacing w:after="0" w:line="240" w:lineRule="auto"/>
        <w:textAlignment w:val="baseline"/>
        <w:outlineLvl w:val="3"/>
        <w:rPr>
          <w:rFonts w:ascii="Arial" w:eastAsia="Times New Roman" w:hAnsi="Arial" w:cs="Arial"/>
          <w:b/>
          <w:bCs/>
        </w:rPr>
      </w:pPr>
    </w:p>
    <w:p w:rsidR="001B490E" w:rsidRDefault="001B490E" w:rsidP="001B490E">
      <w:pPr>
        <w:shd w:val="clear" w:color="auto" w:fill="FFFFFF"/>
        <w:spacing w:after="0" w:line="240" w:lineRule="auto"/>
        <w:textAlignment w:val="baseline"/>
        <w:outlineLvl w:val="3"/>
        <w:rPr>
          <w:rFonts w:ascii="Arial" w:eastAsia="Times New Roman" w:hAnsi="Arial" w:cs="Arial"/>
          <w:b/>
          <w:bCs/>
        </w:rPr>
      </w:pPr>
    </w:p>
    <w:p w:rsidR="001B490E" w:rsidRDefault="001B490E" w:rsidP="001B490E">
      <w:pPr>
        <w:shd w:val="clear" w:color="auto" w:fill="FFFFFF"/>
        <w:spacing w:after="0" w:line="240" w:lineRule="auto"/>
        <w:textAlignment w:val="baseline"/>
        <w:outlineLvl w:val="3"/>
        <w:rPr>
          <w:rFonts w:ascii="Arial" w:eastAsia="Times New Roman" w:hAnsi="Arial" w:cs="Arial"/>
          <w:b/>
          <w:bCs/>
        </w:rPr>
      </w:pPr>
    </w:p>
    <w:p w:rsidR="001B490E" w:rsidRDefault="001B490E"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p>
    <w:p w:rsidR="001B490E" w:rsidRDefault="001B490E"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p>
    <w:p w:rsidR="009D1EE4" w:rsidRDefault="009D1EE4" w:rsidP="001B490E">
      <w:pPr>
        <w:shd w:val="clear" w:color="auto" w:fill="FFFFFF"/>
        <w:spacing w:after="0" w:line="240" w:lineRule="auto"/>
        <w:textAlignment w:val="baseline"/>
        <w:outlineLvl w:val="3"/>
        <w:rPr>
          <w:rFonts w:ascii="Arial" w:eastAsia="Times New Roman" w:hAnsi="Arial" w:cs="Arial"/>
          <w:b/>
          <w:bCs/>
          <w:color w:val="548DD4" w:themeColor="text2" w:themeTint="99"/>
        </w:rPr>
      </w:pPr>
      <w:r w:rsidRPr="009D1EE4">
        <w:rPr>
          <w:rFonts w:ascii="Arial" w:eastAsia="Times New Roman" w:hAnsi="Arial" w:cs="Arial"/>
          <w:b/>
          <w:bCs/>
          <w:color w:val="548DD4" w:themeColor="text2" w:themeTint="99"/>
        </w:rPr>
        <w:lastRenderedPageBreak/>
        <w:t>What intervention resources are available to support students exhibiting characteristics of dyslexia?</w:t>
      </w:r>
    </w:p>
    <w:p w:rsidR="001B490E" w:rsidRPr="009D1EE4" w:rsidRDefault="001B490E" w:rsidP="001B490E">
      <w:pPr>
        <w:shd w:val="clear" w:color="auto" w:fill="FFFFFF"/>
        <w:spacing w:after="0" w:line="240" w:lineRule="auto"/>
        <w:textAlignment w:val="baseline"/>
        <w:outlineLvl w:val="3"/>
        <w:rPr>
          <w:rFonts w:ascii="Arial" w:eastAsia="Times New Roman" w:hAnsi="Arial" w:cs="Arial"/>
          <w:bCs/>
          <w:color w:val="548DD4" w:themeColor="text2" w:themeTint="99"/>
        </w:rPr>
      </w:pPr>
    </w:p>
    <w:p w:rsidR="009D1EE4" w:rsidRPr="009D1EE4" w:rsidRDefault="009D1EE4" w:rsidP="001B490E">
      <w:pPr>
        <w:shd w:val="clear" w:color="auto" w:fill="FFFFFF"/>
        <w:spacing w:after="225" w:line="240" w:lineRule="auto"/>
        <w:textAlignment w:val="baseline"/>
        <w:rPr>
          <w:rFonts w:ascii="Arial" w:eastAsia="Times New Roman" w:hAnsi="Arial" w:cs="Arial"/>
        </w:rPr>
      </w:pPr>
      <w:r w:rsidRPr="009D1EE4">
        <w:rPr>
          <w:rFonts w:ascii="Arial" w:eastAsia="Times New Roman" w:hAnsi="Arial" w:cs="Arial"/>
        </w:rPr>
        <w:t xml:space="preserve">Every school in our </w:t>
      </w:r>
      <w:r w:rsidR="002E759B" w:rsidRPr="001B490E">
        <w:rPr>
          <w:rFonts w:ascii="Arial" w:eastAsia="Times New Roman" w:hAnsi="Arial" w:cs="Arial"/>
        </w:rPr>
        <w:t>district</w:t>
      </w:r>
      <w:r w:rsidRPr="009D1EE4">
        <w:rPr>
          <w:rFonts w:ascii="Arial" w:eastAsia="Times New Roman" w:hAnsi="Arial" w:cs="Arial"/>
        </w:rPr>
        <w:t xml:space="preserve"> has teachers trained to administer the dyslexia-specific screening assessment. We also have teachers in each school trained to implement a variety of dyslexia specific interventions</w:t>
      </w:r>
      <w:r w:rsidR="002E759B" w:rsidRPr="001B490E">
        <w:rPr>
          <w:rFonts w:ascii="Arial" w:eastAsia="Times New Roman" w:hAnsi="Arial" w:cs="Arial"/>
        </w:rPr>
        <w:t>.</w:t>
      </w:r>
    </w:p>
    <w:p w:rsidR="001B490E" w:rsidRPr="001B490E" w:rsidRDefault="009D1EE4" w:rsidP="001B490E">
      <w:pPr>
        <w:shd w:val="clear" w:color="auto" w:fill="FFFFFF"/>
        <w:spacing w:after="225" w:line="240" w:lineRule="auto"/>
        <w:textAlignment w:val="baseline"/>
        <w:rPr>
          <w:rFonts w:ascii="Arial" w:eastAsia="Times New Roman" w:hAnsi="Arial" w:cs="Arial"/>
        </w:rPr>
      </w:pPr>
      <w:r w:rsidRPr="009D1EE4">
        <w:rPr>
          <w:rFonts w:ascii="Arial" w:eastAsia="Times New Roman" w:hAnsi="Arial" w:cs="Arial"/>
        </w:rPr>
        <w:t>Our district will have ongoing professional develop</w:t>
      </w:r>
      <w:r w:rsidR="002E759B" w:rsidRPr="001B490E">
        <w:rPr>
          <w:rFonts w:ascii="Arial" w:eastAsia="Times New Roman" w:hAnsi="Arial" w:cs="Arial"/>
        </w:rPr>
        <w:t>ment</w:t>
      </w:r>
      <w:r w:rsidRPr="009D1EE4">
        <w:rPr>
          <w:rFonts w:ascii="Arial" w:eastAsia="Times New Roman" w:hAnsi="Arial" w:cs="Arial"/>
        </w:rPr>
        <w:t xml:space="preserve"> about dyslexia specific interventions throughout the school year. </w:t>
      </w:r>
    </w:p>
    <w:tbl>
      <w:tblPr>
        <w:tblStyle w:val="TableGrid"/>
        <w:tblpPr w:leftFromText="180" w:rightFromText="180" w:vertAnchor="text" w:horzAnchor="margin" w:tblpY="46"/>
        <w:tblW w:w="0" w:type="auto"/>
        <w:tblLook w:val="04A0" w:firstRow="1" w:lastRow="0" w:firstColumn="1" w:lastColumn="0" w:noHBand="0" w:noVBand="1"/>
      </w:tblPr>
      <w:tblGrid>
        <w:gridCol w:w="9576"/>
      </w:tblGrid>
      <w:tr w:rsidR="009D1EE4" w:rsidRPr="009D1EE4" w:rsidTr="009D1EE4">
        <w:tc>
          <w:tcPr>
            <w:tcW w:w="9576" w:type="dxa"/>
            <w:shd w:val="clear" w:color="auto" w:fill="FFFF00"/>
          </w:tcPr>
          <w:p w:rsidR="009D1EE4" w:rsidRPr="009D1EE4" w:rsidRDefault="009D1EE4" w:rsidP="009D1EE4">
            <w:pPr>
              <w:rPr>
                <w:b/>
                <w:color w:val="FF0000"/>
              </w:rPr>
            </w:pPr>
            <w:r w:rsidRPr="009D1EE4">
              <w:rPr>
                <w:b/>
                <w:color w:val="FF0000"/>
              </w:rPr>
              <w:t>Parent and Teacher Resources</w:t>
            </w:r>
          </w:p>
        </w:tc>
      </w:tr>
      <w:tr w:rsidR="009D1EE4" w:rsidTr="009D1EE4">
        <w:tc>
          <w:tcPr>
            <w:tcW w:w="9576" w:type="dxa"/>
          </w:tcPr>
          <w:p w:rsidR="009D1EE4" w:rsidRDefault="009D1EE4" w:rsidP="009D1EE4">
            <w:hyperlink r:id="rId7" w:history="1">
              <w:r w:rsidRPr="009D1EE4">
                <w:rPr>
                  <w:rStyle w:val="Hyperlink"/>
                </w:rPr>
                <w:t>Dyslexia Quick Reference</w:t>
              </w:r>
            </w:hyperlink>
          </w:p>
        </w:tc>
      </w:tr>
      <w:tr w:rsidR="009D1EE4" w:rsidTr="009D1EE4">
        <w:tc>
          <w:tcPr>
            <w:tcW w:w="9576" w:type="dxa"/>
          </w:tcPr>
          <w:p w:rsidR="009D1EE4" w:rsidRDefault="009D1EE4" w:rsidP="009D1EE4">
            <w:hyperlink r:id="rId8" w:history="1">
              <w:r w:rsidRPr="009D1EE4">
                <w:rPr>
                  <w:rStyle w:val="Hyperlink"/>
                </w:rPr>
                <w:t>Kids Health</w:t>
              </w:r>
            </w:hyperlink>
          </w:p>
        </w:tc>
      </w:tr>
      <w:tr w:rsidR="009D1EE4" w:rsidTr="009D1EE4">
        <w:tc>
          <w:tcPr>
            <w:tcW w:w="9576" w:type="dxa"/>
          </w:tcPr>
          <w:p w:rsidR="009D1EE4" w:rsidRDefault="009D1EE4" w:rsidP="009D1EE4">
            <w:hyperlink r:id="rId9" w:history="1">
              <w:r w:rsidRPr="009D1EE4">
                <w:rPr>
                  <w:rStyle w:val="Hyperlink"/>
                </w:rPr>
                <w:t>Smart Kids</w:t>
              </w:r>
            </w:hyperlink>
          </w:p>
        </w:tc>
      </w:tr>
      <w:tr w:rsidR="009D1EE4" w:rsidTr="009D1EE4">
        <w:tc>
          <w:tcPr>
            <w:tcW w:w="9576" w:type="dxa"/>
          </w:tcPr>
          <w:p w:rsidR="009D1EE4" w:rsidRDefault="009D1EE4" w:rsidP="009D1EE4">
            <w:hyperlink r:id="rId10" w:history="1">
              <w:r w:rsidRPr="009D1EE4">
                <w:rPr>
                  <w:rStyle w:val="Hyperlink"/>
                </w:rPr>
                <w:t>Bright Solutions</w:t>
              </w:r>
            </w:hyperlink>
          </w:p>
        </w:tc>
      </w:tr>
      <w:tr w:rsidR="009D1EE4" w:rsidTr="009D1EE4">
        <w:tc>
          <w:tcPr>
            <w:tcW w:w="9576" w:type="dxa"/>
          </w:tcPr>
          <w:p w:rsidR="009D1EE4" w:rsidRDefault="009D1EE4" w:rsidP="009D1EE4">
            <w:hyperlink r:id="rId11" w:history="1">
              <w:r w:rsidRPr="009D1EE4">
                <w:rPr>
                  <w:rStyle w:val="Hyperlink"/>
                </w:rPr>
                <w:t>Dyslexia Simulation</w:t>
              </w:r>
            </w:hyperlink>
          </w:p>
        </w:tc>
      </w:tr>
      <w:tr w:rsidR="009D1EE4" w:rsidTr="009D1EE4">
        <w:tc>
          <w:tcPr>
            <w:tcW w:w="9576" w:type="dxa"/>
          </w:tcPr>
          <w:p w:rsidR="009D1EE4" w:rsidRDefault="009D1EE4" w:rsidP="009D1EE4">
            <w:hyperlink r:id="rId12" w:history="1">
              <w:r w:rsidRPr="009D1EE4">
                <w:rPr>
                  <w:rStyle w:val="Hyperlink"/>
                </w:rPr>
                <w:t>Dyslexia Basics</w:t>
              </w:r>
            </w:hyperlink>
          </w:p>
        </w:tc>
      </w:tr>
      <w:tr w:rsidR="009D1EE4" w:rsidTr="009D1EE4">
        <w:tc>
          <w:tcPr>
            <w:tcW w:w="9576" w:type="dxa"/>
          </w:tcPr>
          <w:p w:rsidR="009D1EE4" w:rsidRDefault="009D1EE4" w:rsidP="009D1EE4">
            <w:hyperlink r:id="rId13" w:history="1">
              <w:r w:rsidRPr="009D1EE4">
                <w:rPr>
                  <w:rStyle w:val="Hyperlink"/>
                </w:rPr>
                <w:t>Mississippi Dyslexia Handbook</w:t>
              </w:r>
            </w:hyperlink>
          </w:p>
        </w:tc>
      </w:tr>
      <w:tr w:rsidR="009D1EE4" w:rsidTr="009D1EE4">
        <w:tc>
          <w:tcPr>
            <w:tcW w:w="9576" w:type="dxa"/>
          </w:tcPr>
          <w:p w:rsidR="009D1EE4" w:rsidRDefault="009D1EE4" w:rsidP="009D1EE4">
            <w:hyperlink r:id="rId14" w:history="1">
              <w:r w:rsidRPr="009D1EE4">
                <w:rPr>
                  <w:rStyle w:val="Hyperlink"/>
                </w:rPr>
                <w:t>Yale Center for Dyslexia &amp; Creativity</w:t>
              </w:r>
            </w:hyperlink>
          </w:p>
        </w:tc>
      </w:tr>
    </w:tbl>
    <w:p w:rsidR="009D1EE4" w:rsidRDefault="009D1EE4"/>
    <w:p w:rsidR="009D1EE4" w:rsidRDefault="009D1EE4"/>
    <w:p w:rsidR="009D1EE4" w:rsidRDefault="009D1EE4"/>
    <w:sectPr w:rsidR="009D1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8A2"/>
    <w:multiLevelType w:val="multilevel"/>
    <w:tmpl w:val="44C8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D2913"/>
    <w:multiLevelType w:val="multilevel"/>
    <w:tmpl w:val="CBF4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7D1CB0"/>
    <w:multiLevelType w:val="multilevel"/>
    <w:tmpl w:val="92E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B454A"/>
    <w:multiLevelType w:val="multilevel"/>
    <w:tmpl w:val="E27A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E4"/>
    <w:rsid w:val="0013736D"/>
    <w:rsid w:val="001B490E"/>
    <w:rsid w:val="002E759B"/>
    <w:rsid w:val="003B6967"/>
    <w:rsid w:val="009D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EE4"/>
    <w:rPr>
      <w:color w:val="0000FF" w:themeColor="hyperlink"/>
      <w:u w:val="single"/>
    </w:rPr>
  </w:style>
  <w:style w:type="table" w:styleId="TableGrid">
    <w:name w:val="Table Grid"/>
    <w:basedOn w:val="TableNormal"/>
    <w:uiPriority w:val="59"/>
    <w:rsid w:val="009D1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EE4"/>
    <w:rPr>
      <w:color w:val="0000FF" w:themeColor="hyperlink"/>
      <w:u w:val="single"/>
    </w:rPr>
  </w:style>
  <w:style w:type="table" w:styleId="TableGrid">
    <w:name w:val="Table Grid"/>
    <w:basedOn w:val="TableNormal"/>
    <w:uiPriority w:val="59"/>
    <w:rsid w:val="009D1E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498965">
      <w:bodyDiv w:val="1"/>
      <w:marLeft w:val="0"/>
      <w:marRight w:val="0"/>
      <w:marTop w:val="0"/>
      <w:marBottom w:val="0"/>
      <w:divBdr>
        <w:top w:val="none" w:sz="0" w:space="0" w:color="auto"/>
        <w:left w:val="none" w:sz="0" w:space="0" w:color="auto"/>
        <w:bottom w:val="none" w:sz="0" w:space="0" w:color="auto"/>
        <w:right w:val="none" w:sz="0" w:space="0" w:color="auto"/>
      </w:divBdr>
      <w:divsChild>
        <w:div w:id="1421367027">
          <w:marLeft w:val="150"/>
          <w:marRight w:val="150"/>
          <w:marTop w:val="0"/>
          <w:marBottom w:val="0"/>
          <w:divBdr>
            <w:top w:val="none" w:sz="0" w:space="0" w:color="auto"/>
            <w:left w:val="none" w:sz="0" w:space="0" w:color="auto"/>
            <w:bottom w:val="none" w:sz="0" w:space="0" w:color="auto"/>
            <w:right w:val="none" w:sz="0" w:space="0" w:color="auto"/>
          </w:divBdr>
          <w:divsChild>
            <w:div w:id="1005018146">
              <w:marLeft w:val="0"/>
              <w:marRight w:val="0"/>
              <w:marTop w:val="0"/>
              <w:marBottom w:val="0"/>
              <w:divBdr>
                <w:top w:val="none" w:sz="0" w:space="0" w:color="auto"/>
                <w:left w:val="none" w:sz="0" w:space="0" w:color="auto"/>
                <w:bottom w:val="none" w:sz="0" w:space="0" w:color="auto"/>
                <w:right w:val="none" w:sz="0" w:space="0" w:color="auto"/>
              </w:divBdr>
            </w:div>
            <w:div w:id="3596699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health.org/en/kids/dyslexia.html" TargetMode="External"/><Relationship Id="rId13" Type="http://schemas.openxmlformats.org/officeDocument/2006/relationships/hyperlink" Target="http://www.mde.k12.ms.us/docs/elementary-education-and-reading-library/mississippi-best-practices-dyslexia-handbook-2010-12-13.pdf?sfvrsn=2" TargetMode="External"/><Relationship Id="rId3" Type="http://schemas.microsoft.com/office/2007/relationships/stylesWithEffects" Target="stylesWithEffects.xml"/><Relationship Id="rId7" Type="http://schemas.openxmlformats.org/officeDocument/2006/relationships/hyperlink" Target="https://create.piktochart.com/output/15050252-dyslexia-overview" TargetMode="External"/><Relationship Id="rId12" Type="http://schemas.openxmlformats.org/officeDocument/2006/relationships/hyperlink" Target="https://dyslexiaida.org/dyslexia-bas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understood.org/en/tools/through-your-childs-ey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ys-add.com/" TargetMode="External"/><Relationship Id="rId4" Type="http://schemas.openxmlformats.org/officeDocument/2006/relationships/settings" Target="settings.xml"/><Relationship Id="rId9" Type="http://schemas.openxmlformats.org/officeDocument/2006/relationships/hyperlink" Target="http://www.smartkidswithld.org/first-steps/what-are-learning-disabilities/dyslexia-an-overview/" TargetMode="External"/><Relationship Id="rId14" Type="http://schemas.openxmlformats.org/officeDocument/2006/relationships/hyperlink" Target="http://dyslexia.yale.edu/resources/accommo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Kanesha Smith</dc:creator>
  <cp:lastModifiedBy>Kanesha Smith</cp:lastModifiedBy>
  <cp:revision>2</cp:revision>
  <dcterms:created xsi:type="dcterms:W3CDTF">2018-04-07T00:32:00Z</dcterms:created>
  <dcterms:modified xsi:type="dcterms:W3CDTF">2018-04-07T01:16:00Z</dcterms:modified>
</cp:coreProperties>
</file>